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570879002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4172D7" w:rsidRPr="0026525E" w:rsidRDefault="00877EC8" w:rsidP="00BB7DCE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F87641" w:rsidRPr="00F87641">
        <w:rPr>
          <w:rFonts w:ascii="Arial" w:hAnsi="Arial" w:cs="Arial"/>
          <w:b/>
          <w:bCs/>
          <w:color w:val="000000"/>
          <w:sz w:val="22"/>
          <w:szCs w:val="22"/>
        </w:rPr>
        <w:t>PODWYŻSZENIE ATZ EPRA DO WYSOKOŚCI 5500ft AMSL</w:t>
      </w:r>
      <w:bookmarkStart w:id="0" w:name="_GoBack"/>
      <w:bookmarkEnd w:id="0"/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mejlową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D2" w:rsidRDefault="003A69D2">
      <w:r>
        <w:separator/>
      </w:r>
    </w:p>
  </w:endnote>
  <w:endnote w:type="continuationSeparator" w:id="0">
    <w:p w:rsidR="003A69D2" w:rsidRDefault="003A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6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D2" w:rsidRDefault="003A69D2">
      <w:r>
        <w:separator/>
      </w:r>
    </w:p>
  </w:footnote>
  <w:footnote w:type="continuationSeparator" w:id="0">
    <w:p w:rsidR="003A69D2" w:rsidRDefault="003A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212DF9"/>
    <w:rsid w:val="00287ECF"/>
    <w:rsid w:val="002A2D3A"/>
    <w:rsid w:val="002F4DB9"/>
    <w:rsid w:val="0039392A"/>
    <w:rsid w:val="003A57C4"/>
    <w:rsid w:val="003A69D2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E234B0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1627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2</cp:revision>
  <cp:lastPrinted>2013-01-30T11:32:00Z</cp:lastPrinted>
  <dcterms:created xsi:type="dcterms:W3CDTF">2017-10-30T13:30:00Z</dcterms:created>
  <dcterms:modified xsi:type="dcterms:W3CDTF">2017-10-30T13:30:00Z</dcterms:modified>
</cp:coreProperties>
</file>