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8628" w14:textId="77777777" w:rsidR="009340B6" w:rsidRDefault="009340B6" w:rsidP="00B94B9E">
      <w:pPr>
        <w:pStyle w:val="Akapitzlist"/>
        <w:spacing w:line="288" w:lineRule="auto"/>
        <w:ind w:left="0"/>
        <w:rPr>
          <w:b/>
        </w:rPr>
      </w:pPr>
    </w:p>
    <w:p w14:paraId="1840487F" w14:textId="42768831" w:rsidR="00B94B9E" w:rsidRDefault="00B94B9E" w:rsidP="00B94B9E">
      <w:pPr>
        <w:pStyle w:val="Akapitzlist"/>
        <w:spacing w:line="288" w:lineRule="auto"/>
        <w:ind w:left="0"/>
        <w:rPr>
          <w:b/>
        </w:rPr>
      </w:pPr>
      <w:r w:rsidRPr="0070579A">
        <w:rPr>
          <w:b/>
        </w:rPr>
        <w:t xml:space="preserve">REGULAMIN KONKURSU </w:t>
      </w:r>
    </w:p>
    <w:p w14:paraId="5286A31A" w14:textId="357C5305" w:rsidR="00FC246A" w:rsidRDefault="00B94B9E" w:rsidP="00B94B9E">
      <w:pPr>
        <w:pStyle w:val="Akapitzlist"/>
        <w:spacing w:line="288" w:lineRule="auto"/>
        <w:ind w:left="0"/>
        <w:rPr>
          <w:b/>
        </w:rPr>
      </w:pPr>
      <w:r w:rsidRPr="00702050">
        <w:rPr>
          <w:b/>
        </w:rPr>
        <w:t xml:space="preserve">Załącznik nr </w:t>
      </w:r>
      <w:r w:rsidR="000E7478">
        <w:rPr>
          <w:b/>
        </w:rPr>
        <w:t>7</w:t>
      </w:r>
      <w:r w:rsidRPr="00702050">
        <w:rPr>
          <w:b/>
        </w:rPr>
        <w:t xml:space="preserve"> - </w:t>
      </w:r>
      <w:r w:rsidR="00702050" w:rsidRPr="00702050">
        <w:rPr>
          <w:b/>
        </w:rPr>
        <w:t>Instrukcja korzystania z Mapy urbanizacji</w:t>
      </w:r>
    </w:p>
    <w:p w14:paraId="5C3A73FE" w14:textId="77777777" w:rsidR="007B7764" w:rsidRPr="00702050" w:rsidRDefault="007B7764" w:rsidP="00B94B9E">
      <w:pPr>
        <w:pStyle w:val="Akapitzlist"/>
        <w:spacing w:line="288" w:lineRule="auto"/>
        <w:ind w:left="0"/>
        <w:rPr>
          <w:b/>
        </w:rPr>
      </w:pPr>
    </w:p>
    <w:p w14:paraId="4E180253" w14:textId="0A1E17B3" w:rsidR="00FC246A" w:rsidRDefault="00FC246A" w:rsidP="00FC246A">
      <w:pPr>
        <w:ind w:left="6372" w:firstLine="708"/>
      </w:pPr>
    </w:p>
    <w:p w14:paraId="4BEDD4C1" w14:textId="4523A1FE" w:rsidR="00BF13CA" w:rsidRPr="009340B6" w:rsidRDefault="00BF13CA" w:rsidP="00FC246A">
      <w:pPr>
        <w:rPr>
          <w:b/>
          <w:bCs/>
        </w:rPr>
      </w:pPr>
      <w:bookmarkStart w:id="0" w:name="_Hlk75775748"/>
      <w:r w:rsidRPr="009340B6">
        <w:rPr>
          <w:b/>
          <w:bCs/>
        </w:rPr>
        <w:t xml:space="preserve">Informacje dodatkowe dotyczące ustawień filtrów dla strony: </w:t>
      </w:r>
      <w:hyperlink r:id="rId7" w:history="1">
        <w:r w:rsidRPr="009340B6">
          <w:rPr>
            <w:rStyle w:val="Hipercze"/>
          </w:rPr>
          <w:t>https://ec.europa.eu/regional_policy/mapapps/urban/degurba.html</w:t>
        </w:r>
      </w:hyperlink>
    </w:p>
    <w:bookmarkEnd w:id="0"/>
    <w:p w14:paraId="0E090E3A" w14:textId="77777777" w:rsidR="00BF13CA" w:rsidRDefault="00BF13CA" w:rsidP="00FC246A">
      <w:pPr>
        <w:rPr>
          <w:b/>
          <w:bCs/>
        </w:rPr>
      </w:pPr>
    </w:p>
    <w:p w14:paraId="3F7FF6EF" w14:textId="73A0D22A" w:rsidR="00FC246A" w:rsidRPr="00FC246A" w:rsidRDefault="00FC246A" w:rsidP="00430950">
      <w:pPr>
        <w:jc w:val="both"/>
        <w:rPr>
          <w:b/>
          <w:bCs/>
        </w:rPr>
      </w:pPr>
      <w:r w:rsidRPr="00FC246A">
        <w:rPr>
          <w:b/>
          <w:bCs/>
        </w:rPr>
        <w:t xml:space="preserve">Opis ustawień filtrów/warstw jakie należy </w:t>
      </w:r>
      <w:r w:rsidR="00F028DD" w:rsidRPr="00FC246A">
        <w:rPr>
          <w:b/>
          <w:bCs/>
        </w:rPr>
        <w:t>zastosować,</w:t>
      </w:r>
      <w:r w:rsidRPr="00FC246A">
        <w:rPr>
          <w:b/>
          <w:bCs/>
        </w:rPr>
        <w:t xml:space="preserve"> aby móc sprawdzić występowanie obszarów ocenianych w rejonie wskazanej przez Uczestnika lokalizacji. </w:t>
      </w:r>
    </w:p>
    <w:p w14:paraId="3DB087E1" w14:textId="77777777" w:rsidR="00FC246A" w:rsidRDefault="00FC246A" w:rsidP="002327B9">
      <w:pPr>
        <w:jc w:val="both"/>
      </w:pPr>
    </w:p>
    <w:p w14:paraId="2B1CE064" w14:textId="016C17CA" w:rsidR="00AB4AB8" w:rsidRDefault="00AB4AB8" w:rsidP="002327B9">
      <w:pPr>
        <w:jc w:val="both"/>
      </w:pPr>
      <w:r>
        <w:t>Ponad 2</w:t>
      </w:r>
      <w:r w:rsidR="00720853">
        <w:t>5</w:t>
      </w:r>
      <w:r>
        <w:t xml:space="preserve">% powierzchni zaproponowanej lokalizacji znajduje się w granicach </w:t>
      </w:r>
      <w:r w:rsidR="00F028DD">
        <w:t>miasta powyżej</w:t>
      </w:r>
      <w:r>
        <w:t xml:space="preserve"> 50 tysięcy </w:t>
      </w:r>
      <w:r w:rsidRPr="002327B9">
        <w:t>mieszkańców</w:t>
      </w:r>
      <w:r w:rsidR="005277C0" w:rsidRPr="002327B9">
        <w:t xml:space="preserve"> o dużym zagęszczeniu ludności (pow. 1500 os</w:t>
      </w:r>
      <w:r w:rsidR="00430950">
        <w:t>ób</w:t>
      </w:r>
      <w:r w:rsidR="005277C0" w:rsidRPr="002327B9">
        <w:t>/km</w:t>
      </w:r>
      <w:r w:rsidR="005277C0" w:rsidRPr="002327B9">
        <w:rPr>
          <w:vertAlign w:val="superscript"/>
        </w:rPr>
        <w:t>2</w:t>
      </w:r>
      <w:r w:rsidR="005277C0" w:rsidRPr="002327B9">
        <w:t>)</w:t>
      </w:r>
      <w:r w:rsidRPr="002327B9">
        <w:t>, zgodnie</w:t>
      </w:r>
      <w:r>
        <w:t xml:space="preserve"> z danymi zawartymi na </w:t>
      </w:r>
      <w:r w:rsidR="002327B9">
        <w:t>M</w:t>
      </w:r>
      <w:r>
        <w:t>apie</w:t>
      </w:r>
      <w:r w:rsidR="002327B9">
        <w:t xml:space="preserve"> urbanizacji</w:t>
      </w:r>
      <w:r>
        <w:t xml:space="preserve">: </w:t>
      </w:r>
      <w:hyperlink r:id="rId8" w:history="1">
        <w:r>
          <w:rPr>
            <w:rStyle w:val="Hipercze"/>
          </w:rPr>
          <w:t>https://ec.europa.eu/regional_policy/mapapps/urban/degurba.html</w:t>
        </w:r>
      </w:hyperlink>
      <w:r>
        <w:t xml:space="preserve"> </w:t>
      </w:r>
    </w:p>
    <w:p w14:paraId="48E127D5" w14:textId="536F1290" w:rsidR="00AB4AB8" w:rsidRDefault="00FB5523" w:rsidP="002327B9">
      <w:pPr>
        <w:jc w:val="both"/>
      </w:pPr>
      <w:r>
        <w:t>(</w:t>
      </w:r>
      <w:r w:rsidR="00092E00">
        <w:t xml:space="preserve">obszary zaznaczone kolorem </w:t>
      </w:r>
      <w:r w:rsidR="002D05A9">
        <w:t>pomarańczowym</w:t>
      </w:r>
      <w:r w:rsidR="00092E00">
        <w:t xml:space="preserve">, </w:t>
      </w:r>
      <w:r>
        <w:t>wyświetlane po wciśnięciu przycisku „</w:t>
      </w:r>
      <w:proofErr w:type="spellStart"/>
      <w:r>
        <w:t>Layers</w:t>
      </w:r>
      <w:proofErr w:type="spellEnd"/>
      <w:r>
        <w:t>” w prawym górnym rogu ekranu i wyborze opcji „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urbanisation</w:t>
      </w:r>
      <w:proofErr w:type="spellEnd"/>
      <w:r>
        <w:t>”</w:t>
      </w:r>
      <w:r w:rsidR="00092E00">
        <w:t>, zgodnie z poniższą grafiką</w:t>
      </w:r>
      <w:r>
        <w:t>)</w:t>
      </w:r>
    </w:p>
    <w:p w14:paraId="6727F321" w14:textId="77777777" w:rsidR="002D05A9" w:rsidRDefault="002D05A9" w:rsidP="00AB4AB8"/>
    <w:p w14:paraId="3B103742" w14:textId="4975A8D9" w:rsidR="00AB4AB8" w:rsidRDefault="00FB5523" w:rsidP="00AB4AB8">
      <w:r>
        <w:rPr>
          <w:noProof/>
        </w:rPr>
        <w:drawing>
          <wp:inline distT="0" distB="0" distL="0" distR="0" wp14:anchorId="41DB5CC8" wp14:editId="150DD297">
            <wp:extent cx="5760720" cy="2806700"/>
            <wp:effectExtent l="0" t="0" r="0" b="0"/>
            <wp:docPr id="3" name="Obraz 3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ap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77D2" w14:textId="77777777" w:rsidR="002D05A9" w:rsidRDefault="002D05A9" w:rsidP="00AB4AB8"/>
    <w:p w14:paraId="368E7FEE" w14:textId="505BE442" w:rsidR="002327B9" w:rsidRDefault="00AB4AB8" w:rsidP="002327B9">
      <w:pPr>
        <w:jc w:val="both"/>
      </w:pPr>
      <w:r>
        <w:t xml:space="preserve">Ponad 20% powierzchni zaproponowanej lokalizacji znajduje się w „obszarach </w:t>
      </w:r>
      <w:r w:rsidR="002D05A9">
        <w:t>jasnofioletowych</w:t>
      </w:r>
      <w:r>
        <w:t xml:space="preserve">” zgodnie z danymi zawartymi na </w:t>
      </w:r>
      <w:r w:rsidR="002327B9">
        <w:t>M</w:t>
      </w:r>
      <w:r>
        <w:t>apie</w:t>
      </w:r>
      <w:r w:rsidR="002327B9">
        <w:t xml:space="preserve"> urbanizacji</w:t>
      </w:r>
      <w:r>
        <w:t>:</w:t>
      </w:r>
    </w:p>
    <w:p w14:paraId="608446DA" w14:textId="174E9BE1" w:rsidR="00AB4AB8" w:rsidRDefault="00AF2993" w:rsidP="002327B9">
      <w:pPr>
        <w:jc w:val="both"/>
      </w:pPr>
      <w:hyperlink r:id="rId10" w:history="1">
        <w:r w:rsidR="002327B9" w:rsidRPr="001040F6">
          <w:rPr>
            <w:rStyle w:val="Hipercze"/>
          </w:rPr>
          <w:t>https://ec.europa.eu/regional_policy/mapapps/urban/degurba.html</w:t>
        </w:r>
      </w:hyperlink>
      <w:r w:rsidR="009340B6">
        <w:rPr>
          <w:rStyle w:val="Hipercze"/>
        </w:rPr>
        <w:t xml:space="preserve"> </w:t>
      </w:r>
    </w:p>
    <w:p w14:paraId="69814EE6" w14:textId="3EC65FA1" w:rsidR="00FB5523" w:rsidRDefault="00FB5523" w:rsidP="002327B9">
      <w:pPr>
        <w:jc w:val="both"/>
      </w:pPr>
      <w:r>
        <w:t>(</w:t>
      </w:r>
      <w:r w:rsidR="00092E00">
        <w:t xml:space="preserve">obszary zaznaczone kolorem różowym, </w:t>
      </w:r>
      <w:r>
        <w:t>wyświetlane po wciśnięciu przycisku „</w:t>
      </w:r>
      <w:proofErr w:type="spellStart"/>
      <w:r>
        <w:t>Layers</w:t>
      </w:r>
      <w:proofErr w:type="spellEnd"/>
      <w:r>
        <w:t xml:space="preserve">” w prawym górnym rogu ekranu i wyborze opcji „Urban </w:t>
      </w:r>
      <w:proofErr w:type="spellStart"/>
      <w:r>
        <w:t>clusters</w:t>
      </w:r>
      <w:proofErr w:type="spellEnd"/>
      <w:r>
        <w:t>”</w:t>
      </w:r>
      <w:r w:rsidR="00092E00">
        <w:t>, zgodnie z poniższą grafiką</w:t>
      </w:r>
      <w:r>
        <w:t>)</w:t>
      </w:r>
      <w:r w:rsidR="009340B6">
        <w:t>.</w:t>
      </w:r>
    </w:p>
    <w:p w14:paraId="6F6A4538" w14:textId="08CAB5A7" w:rsidR="00FB5523" w:rsidRDefault="00FB5523" w:rsidP="00AB4AB8">
      <w:r>
        <w:rPr>
          <w:noProof/>
        </w:rPr>
        <w:lastRenderedPageBreak/>
        <w:drawing>
          <wp:inline distT="0" distB="0" distL="0" distR="0" wp14:anchorId="63A78003" wp14:editId="3286E881">
            <wp:extent cx="5760720" cy="2803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95F33" w14:textId="5D45D8D1" w:rsidR="00FB5523" w:rsidRDefault="00FB5523" w:rsidP="00AB4AB8"/>
    <w:p w14:paraId="5B9BB61F" w14:textId="77777777" w:rsidR="00092E00" w:rsidRDefault="00092E00" w:rsidP="00AB4AB8"/>
    <w:p w14:paraId="5ECF09C1" w14:textId="3506D8E3" w:rsidR="002327B9" w:rsidRDefault="00AB4AB8" w:rsidP="002327B9">
      <w:pPr>
        <w:jc w:val="both"/>
      </w:pPr>
      <w:r>
        <w:t xml:space="preserve">Ponad 10% powierzchni zaproponowanej lokalizacji znajduje się w „obszarach fioletowych” zgodnie z danymi zawartymi na </w:t>
      </w:r>
      <w:r w:rsidR="002327B9">
        <w:t>M</w:t>
      </w:r>
      <w:r>
        <w:t>apie</w:t>
      </w:r>
      <w:r w:rsidR="002327B9">
        <w:t xml:space="preserve"> urbanizacji:</w:t>
      </w:r>
    </w:p>
    <w:p w14:paraId="695C69B8" w14:textId="3B7A5300" w:rsidR="00AB4AB8" w:rsidRDefault="00AB4AB8" w:rsidP="002327B9">
      <w:pPr>
        <w:jc w:val="both"/>
      </w:pPr>
      <w:r>
        <w:t xml:space="preserve"> </w:t>
      </w:r>
      <w:hyperlink r:id="rId12" w:history="1">
        <w:r>
          <w:rPr>
            <w:rStyle w:val="Hipercze"/>
          </w:rPr>
          <w:t>https://ec.europa.eu/regional_policy/mapapps/urban/degurba.html</w:t>
        </w:r>
      </w:hyperlink>
      <w:r>
        <w:t xml:space="preserve">, </w:t>
      </w:r>
    </w:p>
    <w:p w14:paraId="685E30DC" w14:textId="501E8AF9" w:rsidR="00FB5523" w:rsidRDefault="00FB5523" w:rsidP="002327B9">
      <w:pPr>
        <w:jc w:val="both"/>
      </w:pPr>
      <w:r>
        <w:t>(</w:t>
      </w:r>
      <w:r w:rsidR="00092E00">
        <w:t xml:space="preserve">obszary zaznaczone kolorem fioletowym, </w:t>
      </w:r>
      <w:r>
        <w:t>wyświetlane po wciśnięciu przycisku „</w:t>
      </w:r>
      <w:proofErr w:type="spellStart"/>
      <w:r>
        <w:t>Layers</w:t>
      </w:r>
      <w:proofErr w:type="spellEnd"/>
      <w:r>
        <w:t xml:space="preserve">” w prawym górnym rogu ekranu i wyborze opcji „Urban </w:t>
      </w:r>
      <w:proofErr w:type="spellStart"/>
      <w:r w:rsidR="00092E00">
        <w:t>centers</w:t>
      </w:r>
      <w:proofErr w:type="spellEnd"/>
      <w:r w:rsidR="00092E00">
        <w:t>”, zgodnie z poniższą grafiką</w:t>
      </w:r>
      <w:r>
        <w:t>)</w:t>
      </w:r>
      <w:r w:rsidR="009340B6">
        <w:t>.</w:t>
      </w:r>
    </w:p>
    <w:p w14:paraId="711550D1" w14:textId="77777777" w:rsidR="002D05A9" w:rsidRDefault="002D05A9" w:rsidP="00FB5523"/>
    <w:p w14:paraId="31B9E8FA" w14:textId="238983AB" w:rsidR="00FB5523" w:rsidRDefault="00FB5523" w:rsidP="00AB4AB8">
      <w:r>
        <w:rPr>
          <w:noProof/>
        </w:rPr>
        <w:drawing>
          <wp:inline distT="0" distB="0" distL="0" distR="0" wp14:anchorId="6D8CF948" wp14:editId="73D40E32">
            <wp:extent cx="5760720" cy="2809875"/>
            <wp:effectExtent l="0" t="0" r="0" b="9525"/>
            <wp:docPr id="4" name="Obraz 4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mapa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40A86" w14:textId="7AA67928" w:rsidR="0011288F" w:rsidRDefault="00AF2993" w:rsidP="00AB4AB8"/>
    <w:p w14:paraId="699C8BC1" w14:textId="35AA49C0" w:rsidR="00862F85" w:rsidRDefault="00862F85" w:rsidP="00AB4AB8"/>
    <w:p w14:paraId="24D25D47" w14:textId="68D5DA82" w:rsidR="00862F85" w:rsidRPr="00862F85" w:rsidRDefault="00862F85" w:rsidP="002327B9">
      <w:pPr>
        <w:jc w:val="both"/>
        <w:rPr>
          <w:u w:val="single"/>
        </w:rPr>
      </w:pPr>
      <w:r w:rsidRPr="00862F85">
        <w:rPr>
          <w:u w:val="single"/>
        </w:rPr>
        <w:t>Legenda dot. oznaczeń kolorystycznych:</w:t>
      </w:r>
    </w:p>
    <w:p w14:paraId="35512451" w14:textId="04361AA4" w:rsidR="00862F85" w:rsidRPr="00862F85" w:rsidRDefault="002D05A9" w:rsidP="002327B9">
      <w:pPr>
        <w:pStyle w:val="Akapitzlist"/>
        <w:numPr>
          <w:ilvl w:val="0"/>
          <w:numId w:val="2"/>
        </w:numPr>
        <w:ind w:left="709"/>
        <w:jc w:val="both"/>
      </w:pPr>
      <w:r w:rsidRPr="002D05A9">
        <w:rPr>
          <w:b/>
          <w:bCs/>
          <w:color w:val="ED7D31" w:themeColor="accent2"/>
        </w:rPr>
        <w:t>pomarańczowy</w:t>
      </w:r>
      <w:r w:rsidR="00862F85" w:rsidRPr="002D05A9">
        <w:rPr>
          <w:color w:val="ED7D31" w:themeColor="accent2"/>
        </w:rPr>
        <w:t xml:space="preserve"> </w:t>
      </w:r>
      <w:r w:rsidR="00862F85" w:rsidRPr="00862F85">
        <w:t>– największe miasta w Polsce w ich granicach administracyjnych</w:t>
      </w:r>
      <w:r w:rsidR="00862F85">
        <w:t>, w których</w:t>
      </w:r>
      <w:r w:rsidR="00862F85" w:rsidRPr="00862F85">
        <w:t xml:space="preserve">: </w:t>
      </w:r>
    </w:p>
    <w:p w14:paraId="04EB01C2" w14:textId="41744129" w:rsidR="00862F85" w:rsidRPr="00862F85" w:rsidRDefault="00862F85" w:rsidP="002327B9">
      <w:pPr>
        <w:pStyle w:val="Akapitzlist"/>
        <w:numPr>
          <w:ilvl w:val="2"/>
          <w:numId w:val="2"/>
        </w:numPr>
        <w:ind w:left="1134"/>
        <w:jc w:val="both"/>
      </w:pPr>
      <w:r w:rsidRPr="00862F85">
        <w:t>liczba ludności</w:t>
      </w:r>
      <w:r>
        <w:t xml:space="preserve"> jest wyższa niż</w:t>
      </w:r>
      <w:r w:rsidRPr="00862F85">
        <w:t xml:space="preserve"> 50 ty</w:t>
      </w:r>
      <w:r w:rsidR="00A4516B">
        <w:t>s</w:t>
      </w:r>
      <w:r w:rsidRPr="00862F85">
        <w:t>. osób</w:t>
      </w:r>
    </w:p>
    <w:p w14:paraId="5498D7F4" w14:textId="37AE8275" w:rsidR="00862F85" w:rsidRPr="00862F85" w:rsidRDefault="008602EB" w:rsidP="002327B9">
      <w:pPr>
        <w:pStyle w:val="Akapitzlist"/>
        <w:numPr>
          <w:ilvl w:val="2"/>
          <w:numId w:val="2"/>
        </w:numPr>
        <w:ind w:left="1134"/>
        <w:jc w:val="both"/>
      </w:pPr>
      <w:r>
        <w:t xml:space="preserve">średnia </w:t>
      </w:r>
      <w:r w:rsidR="00862F85" w:rsidRPr="00862F85">
        <w:t xml:space="preserve">gęstość zaludnienia </w:t>
      </w:r>
      <w:r w:rsidR="00862F85">
        <w:t>jest wyższa niż</w:t>
      </w:r>
      <w:r w:rsidR="00862F85" w:rsidRPr="00862F85">
        <w:t xml:space="preserve"> 1500 os</w:t>
      </w:r>
      <w:r w:rsidR="00430950">
        <w:t>ób</w:t>
      </w:r>
      <w:r w:rsidR="00862F85" w:rsidRPr="00862F85">
        <w:t>/km</w:t>
      </w:r>
      <w:r w:rsidR="00862F85" w:rsidRPr="00862F85">
        <w:rPr>
          <w:vertAlign w:val="superscript"/>
        </w:rPr>
        <w:t>2</w:t>
      </w:r>
    </w:p>
    <w:p w14:paraId="06A19DD6" w14:textId="4B841E0B" w:rsidR="00862F85" w:rsidRPr="00862F85" w:rsidRDefault="002D05A9" w:rsidP="002327B9">
      <w:pPr>
        <w:pStyle w:val="Akapitzlist"/>
        <w:numPr>
          <w:ilvl w:val="0"/>
          <w:numId w:val="2"/>
        </w:numPr>
        <w:ind w:left="709"/>
        <w:jc w:val="both"/>
      </w:pPr>
      <w:r>
        <w:rPr>
          <w:b/>
          <w:bCs/>
          <w:color w:val="FF00FF"/>
        </w:rPr>
        <w:t>jasnofioletowy</w:t>
      </w:r>
      <w:r w:rsidR="00862F85" w:rsidRPr="00862F85">
        <w:t xml:space="preserve"> – </w:t>
      </w:r>
      <w:r w:rsidR="00862F85">
        <w:t>obszar miejski o wymiarach 100x100</w:t>
      </w:r>
      <w:r w:rsidR="00C01A04">
        <w:t xml:space="preserve"> </w:t>
      </w:r>
      <w:r w:rsidR="00862F85">
        <w:t>m, w którym</w:t>
      </w:r>
      <w:r w:rsidR="00862F85" w:rsidRPr="00862F85">
        <w:t>:</w:t>
      </w:r>
    </w:p>
    <w:p w14:paraId="0130C754" w14:textId="23F492D2" w:rsidR="00862F85" w:rsidRPr="00862F85" w:rsidRDefault="00862F85" w:rsidP="002327B9">
      <w:pPr>
        <w:pStyle w:val="Akapitzlist"/>
        <w:numPr>
          <w:ilvl w:val="2"/>
          <w:numId w:val="2"/>
        </w:numPr>
        <w:ind w:left="1276"/>
        <w:jc w:val="both"/>
      </w:pPr>
      <w:r w:rsidRPr="00862F85">
        <w:t xml:space="preserve">liczba ludności miasta/miejscowości </w:t>
      </w:r>
      <w:r>
        <w:t>jest wyższa niż</w:t>
      </w:r>
      <w:r w:rsidRPr="00862F85">
        <w:t xml:space="preserve"> 5 </w:t>
      </w:r>
      <w:r w:rsidR="00A4516B" w:rsidRPr="00862F85">
        <w:t>ty</w:t>
      </w:r>
      <w:r w:rsidR="00A4516B">
        <w:t>s</w:t>
      </w:r>
      <w:r w:rsidRPr="00862F85">
        <w:t>. osób</w:t>
      </w:r>
    </w:p>
    <w:p w14:paraId="475B97EA" w14:textId="215DE690" w:rsidR="00862F85" w:rsidRPr="00862F85" w:rsidRDefault="00862F85" w:rsidP="002327B9">
      <w:pPr>
        <w:pStyle w:val="Akapitzlist"/>
        <w:numPr>
          <w:ilvl w:val="2"/>
          <w:numId w:val="2"/>
        </w:numPr>
        <w:ind w:left="1276"/>
        <w:jc w:val="both"/>
      </w:pPr>
      <w:r w:rsidRPr="00862F85">
        <w:t>gęstość zaludnienia</w:t>
      </w:r>
      <w:r>
        <w:t xml:space="preserve"> wynosi</w:t>
      </w:r>
      <w:r w:rsidRPr="00862F85">
        <w:t xml:space="preserve"> 300 – 1500 os</w:t>
      </w:r>
      <w:r w:rsidR="00430950">
        <w:t>ób</w:t>
      </w:r>
      <w:r w:rsidRPr="00862F85">
        <w:t>/km</w:t>
      </w:r>
      <w:r w:rsidRPr="00862F85">
        <w:rPr>
          <w:vertAlign w:val="superscript"/>
        </w:rPr>
        <w:t>2</w:t>
      </w:r>
    </w:p>
    <w:p w14:paraId="1FDFC0E8" w14:textId="44A365C5" w:rsidR="00862F85" w:rsidRPr="00862F85" w:rsidRDefault="00862F85" w:rsidP="002327B9">
      <w:pPr>
        <w:pStyle w:val="Akapitzlist"/>
        <w:numPr>
          <w:ilvl w:val="0"/>
          <w:numId w:val="2"/>
        </w:numPr>
        <w:ind w:left="709"/>
        <w:jc w:val="both"/>
      </w:pPr>
      <w:r w:rsidRPr="00862F85">
        <w:rPr>
          <w:b/>
          <w:bCs/>
          <w:color w:val="9900FF"/>
        </w:rPr>
        <w:t>fioletowy</w:t>
      </w:r>
      <w:r w:rsidRPr="00862F85">
        <w:t xml:space="preserve"> – </w:t>
      </w:r>
      <w:r>
        <w:t>obszar miejski o wymiarach 100x100</w:t>
      </w:r>
      <w:r w:rsidR="00C01A04">
        <w:t xml:space="preserve"> </w:t>
      </w:r>
      <w:r>
        <w:t>m, bardzo gęsto zaludniony (zazwyczaj centra miast), w którym</w:t>
      </w:r>
      <w:r w:rsidRPr="00862F85">
        <w:t>:</w:t>
      </w:r>
    </w:p>
    <w:p w14:paraId="65F83B80" w14:textId="78B13C5B" w:rsidR="00862F85" w:rsidRPr="00862F85" w:rsidRDefault="00862F85" w:rsidP="00862F85">
      <w:pPr>
        <w:pStyle w:val="Akapitzlist"/>
        <w:numPr>
          <w:ilvl w:val="2"/>
          <w:numId w:val="2"/>
        </w:numPr>
        <w:ind w:left="1276"/>
      </w:pPr>
      <w:r w:rsidRPr="00862F85">
        <w:lastRenderedPageBreak/>
        <w:t xml:space="preserve">liczba ludności miasta/miejscowości </w:t>
      </w:r>
      <w:r>
        <w:t xml:space="preserve">jest wyższa </w:t>
      </w:r>
      <w:r w:rsidRPr="00862F85">
        <w:t xml:space="preserve">50 </w:t>
      </w:r>
      <w:r w:rsidR="00CD0932" w:rsidRPr="00862F85">
        <w:t>ty</w:t>
      </w:r>
      <w:r w:rsidR="00CD0932">
        <w:t>s</w:t>
      </w:r>
      <w:r w:rsidRPr="00862F85">
        <w:t>. osób</w:t>
      </w:r>
    </w:p>
    <w:p w14:paraId="508A8E71" w14:textId="49397F96" w:rsidR="00862F85" w:rsidRPr="002D05A9" w:rsidRDefault="00862F85" w:rsidP="00862F85">
      <w:pPr>
        <w:pStyle w:val="Akapitzlist"/>
        <w:numPr>
          <w:ilvl w:val="2"/>
          <w:numId w:val="2"/>
        </w:numPr>
        <w:ind w:left="1276"/>
      </w:pPr>
      <w:r w:rsidRPr="00862F85">
        <w:t>gęstość zaludnienia</w:t>
      </w:r>
      <w:r>
        <w:t xml:space="preserve"> wynosi</w:t>
      </w:r>
      <w:r w:rsidRPr="00862F85">
        <w:t xml:space="preserve"> powyżej 1500 </w:t>
      </w:r>
      <w:r w:rsidR="00F028DD" w:rsidRPr="00862F85">
        <w:t>o</w:t>
      </w:r>
      <w:r w:rsidR="00F028DD">
        <w:t>sób</w:t>
      </w:r>
      <w:r w:rsidRPr="00862F85">
        <w:t>/km</w:t>
      </w:r>
      <w:r w:rsidRPr="00862F85">
        <w:rPr>
          <w:vertAlign w:val="superscript"/>
        </w:rPr>
        <w:t>2</w:t>
      </w:r>
    </w:p>
    <w:p w14:paraId="0D1D6F62" w14:textId="77777777" w:rsidR="002D05A9" w:rsidRDefault="002D05A9" w:rsidP="002D05A9">
      <w:pPr>
        <w:pStyle w:val="Akapitzlist"/>
        <w:ind w:left="1276"/>
      </w:pPr>
    </w:p>
    <w:p w14:paraId="21C9E070" w14:textId="62BB406C" w:rsidR="00862F85" w:rsidRPr="00AB4AB8" w:rsidRDefault="00862F85" w:rsidP="00C01A04">
      <w:pPr>
        <w:jc w:val="both"/>
      </w:pPr>
      <w:r>
        <w:t>Uwaga: może zdarzyć się sytuacja, że w bardzo dużym mieście (</w:t>
      </w:r>
      <w:r w:rsidR="002D05A9">
        <w:t>pomarańczowe</w:t>
      </w:r>
      <w:r>
        <w:t xml:space="preserve">) są obszary o niskiej gęstości zaludnienia (np. część Powsina czy Okęcia w Warszawie), gdzie </w:t>
      </w:r>
      <w:r w:rsidR="008602EB">
        <w:t xml:space="preserve">obszary </w:t>
      </w:r>
      <w:r w:rsidR="002D05A9">
        <w:t>ja</w:t>
      </w:r>
      <w:r w:rsidR="00871241">
        <w:t>s</w:t>
      </w:r>
      <w:r w:rsidR="002D05A9">
        <w:t>nofioletowe</w:t>
      </w:r>
      <w:r w:rsidR="008602EB">
        <w:t xml:space="preserve"> i fioletowe nie występują.</w:t>
      </w:r>
    </w:p>
    <w:sectPr w:rsidR="00862F85" w:rsidRPr="00AB4AB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3DB1" w14:textId="77777777" w:rsidR="00AF2993" w:rsidRDefault="00AF2993" w:rsidP="009340B6">
      <w:r>
        <w:separator/>
      </w:r>
    </w:p>
  </w:endnote>
  <w:endnote w:type="continuationSeparator" w:id="0">
    <w:p w14:paraId="76BDB548" w14:textId="77777777" w:rsidR="00AF2993" w:rsidRDefault="00AF2993" w:rsidP="0093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7BBD" w14:textId="0C4788DF" w:rsidR="009340B6" w:rsidRDefault="009340B6" w:rsidP="009340B6">
    <w:pPr>
      <w:pStyle w:val="Stopka"/>
      <w:jc w:val="center"/>
    </w:pPr>
    <w:r>
      <w:rPr>
        <w:noProof/>
      </w:rPr>
      <w:drawing>
        <wp:inline distT="0" distB="0" distL="0" distR="0" wp14:anchorId="2F5A9D31" wp14:editId="424D33E5">
          <wp:extent cx="5296535" cy="319405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29CD" w14:textId="77777777" w:rsidR="00AF2993" w:rsidRDefault="00AF2993" w:rsidP="009340B6">
      <w:r>
        <w:separator/>
      </w:r>
    </w:p>
  </w:footnote>
  <w:footnote w:type="continuationSeparator" w:id="0">
    <w:p w14:paraId="2206C871" w14:textId="77777777" w:rsidR="00AF2993" w:rsidRDefault="00AF2993" w:rsidP="0093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7EAA" w14:textId="247C2F6C" w:rsidR="009340B6" w:rsidRDefault="009340B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41807" wp14:editId="0A48E338">
          <wp:simplePos x="0" y="0"/>
          <wp:positionH relativeFrom="page">
            <wp:posOffset>652145</wp:posOffset>
          </wp:positionH>
          <wp:positionV relativeFrom="paragraph">
            <wp:posOffset>-38735</wp:posOffset>
          </wp:positionV>
          <wp:extent cx="6270689" cy="336238"/>
          <wp:effectExtent l="0" t="0" r="0" b="698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89" cy="33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B75"/>
    <w:multiLevelType w:val="hybridMultilevel"/>
    <w:tmpl w:val="EA26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D7639"/>
    <w:multiLevelType w:val="hybridMultilevel"/>
    <w:tmpl w:val="F4EA40FA"/>
    <w:lvl w:ilvl="0" w:tplc="EF9E2E1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40988F20">
      <w:numFmt w:val="bullet"/>
      <w:lvlText w:val=""/>
      <w:lvlJc w:val="left"/>
      <w:pPr>
        <w:ind w:left="1788" w:hanging="708"/>
      </w:pPr>
      <w:rPr>
        <w:rFonts w:ascii="Symbol" w:eastAsiaTheme="minorHAns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B8"/>
    <w:rsid w:val="0006379E"/>
    <w:rsid w:val="00092E00"/>
    <w:rsid w:val="000E7478"/>
    <w:rsid w:val="002327B9"/>
    <w:rsid w:val="002D05A9"/>
    <w:rsid w:val="00430950"/>
    <w:rsid w:val="005277C0"/>
    <w:rsid w:val="0068409F"/>
    <w:rsid w:val="00702050"/>
    <w:rsid w:val="00720853"/>
    <w:rsid w:val="007B7764"/>
    <w:rsid w:val="008602EB"/>
    <w:rsid w:val="00862F85"/>
    <w:rsid w:val="00871241"/>
    <w:rsid w:val="009340B6"/>
    <w:rsid w:val="00A44C83"/>
    <w:rsid w:val="00A4516B"/>
    <w:rsid w:val="00AB4AB8"/>
    <w:rsid w:val="00AF2993"/>
    <w:rsid w:val="00B94B9E"/>
    <w:rsid w:val="00BC4802"/>
    <w:rsid w:val="00BF13CA"/>
    <w:rsid w:val="00C01A04"/>
    <w:rsid w:val="00CB34D6"/>
    <w:rsid w:val="00CD0932"/>
    <w:rsid w:val="00D5736D"/>
    <w:rsid w:val="00F028DD"/>
    <w:rsid w:val="00F12085"/>
    <w:rsid w:val="00F813F6"/>
    <w:rsid w:val="00FB5523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FE58"/>
  <w15:chartTrackingRefBased/>
  <w15:docId w15:val="{7B46653E-EC6A-4E65-8CEC-FA6DBAAB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52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AB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2F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3C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C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C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4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0B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0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gional_policy/mapapps/urban/degurba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c.europa.eu/regional_policy/mapapps/urban/degurba.html" TargetMode="External"/><Relationship Id="rId12" Type="http://schemas.openxmlformats.org/officeDocument/2006/relationships/hyperlink" Target="https://ec.europa.eu/regional_policy/mapapps/urban/degurb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c.europa.eu/regional_policy/mapapps/urban/degurb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Paprocki</dc:creator>
  <cp:keywords/>
  <dc:description/>
  <cp:lastModifiedBy>Andrzej Pająk</cp:lastModifiedBy>
  <cp:revision>4</cp:revision>
  <dcterms:created xsi:type="dcterms:W3CDTF">2021-09-08T11:19:00Z</dcterms:created>
  <dcterms:modified xsi:type="dcterms:W3CDTF">2021-09-10T05:46:00Z</dcterms:modified>
</cp:coreProperties>
</file>